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544A53" w14:textId="77777777" w:rsidR="00D04DA7" w:rsidRDefault="00D04DA7" w:rsidP="00D04DA7">
      <w:pPr>
        <w:rPr>
          <w:b/>
          <w:caps/>
          <w:color w:val="0095D5" w:themeColor="accent1"/>
          <w:lang w:val="de-DE"/>
        </w:rPr>
      </w:pPr>
      <w:bookmarkStart w:id="0" w:name="_Hlk12546295"/>
      <w:r w:rsidRPr="004E0469">
        <w:rPr>
          <w:b/>
          <w:caps/>
          <w:color w:val="0095D5" w:themeColor="accent1"/>
          <w:lang w:val="de-DE"/>
        </w:rPr>
        <w:t>Unter den Schwingen des Bundesadlers</w:t>
      </w:r>
    </w:p>
    <w:p w14:paraId="39F81B46" w14:textId="77777777" w:rsidR="00D04DA7" w:rsidRPr="00F17AA6" w:rsidRDefault="00D04DA7" w:rsidP="00D04DA7">
      <w:pPr>
        <w:rPr>
          <w:b/>
          <w:lang w:val="de-DE"/>
        </w:rPr>
      </w:pPr>
      <w:bookmarkStart w:id="1" w:name="_Hlk12546303"/>
      <w:bookmarkEnd w:id="0"/>
      <w:r w:rsidRPr="00F17AA6">
        <w:rPr>
          <w:b/>
          <w:lang w:val="de-DE"/>
        </w:rPr>
        <w:t xml:space="preserve">Sennheiser </w:t>
      </w:r>
      <w:r>
        <w:rPr>
          <w:b/>
          <w:lang w:val="de-DE"/>
        </w:rPr>
        <w:t xml:space="preserve">Digital 6000 </w:t>
      </w:r>
      <w:r w:rsidRPr="00F17AA6">
        <w:rPr>
          <w:b/>
          <w:lang w:val="de-DE"/>
        </w:rPr>
        <w:t>Drahtlostechnik im Bonner Plenarsaal</w:t>
      </w:r>
    </w:p>
    <w:bookmarkEnd w:id="1"/>
    <w:p w14:paraId="39AE4523" w14:textId="77777777" w:rsidR="009C45A2" w:rsidRPr="00622B0B" w:rsidRDefault="009C45A2" w:rsidP="009C45A2">
      <w:pPr>
        <w:rPr>
          <w:lang w:val="de-DE"/>
        </w:rPr>
      </w:pPr>
    </w:p>
    <w:p w14:paraId="3AFC1BFC" w14:textId="77777777" w:rsidR="00D04DA7" w:rsidRDefault="00D04DA7" w:rsidP="00D04DA7">
      <w:pPr>
        <w:rPr>
          <w:b/>
          <w:lang w:val="de-DE"/>
        </w:rPr>
      </w:pPr>
      <w:bookmarkStart w:id="2" w:name="_Hlk12546313"/>
      <w:r w:rsidRPr="004E0469">
        <w:rPr>
          <w:b/>
          <w:i/>
          <w:lang w:val="de-DE"/>
        </w:rPr>
        <w:t>Wedemark/Bonn</w:t>
      </w:r>
      <w:r w:rsidRPr="008245D3">
        <w:rPr>
          <w:b/>
          <w:i/>
          <w:lang w:val="de-DE"/>
        </w:rPr>
        <w:t xml:space="preserve">, 27. </w:t>
      </w:r>
      <w:r>
        <w:rPr>
          <w:b/>
          <w:i/>
          <w:lang w:val="de-DE"/>
        </w:rPr>
        <w:t>Juni</w:t>
      </w:r>
      <w:r w:rsidRPr="008245D3">
        <w:rPr>
          <w:b/>
          <w:i/>
          <w:lang w:val="de-DE"/>
        </w:rPr>
        <w:t xml:space="preserve"> 2019</w:t>
      </w:r>
      <w:r w:rsidRPr="004E0469">
        <w:rPr>
          <w:b/>
          <w:lang w:val="de-DE"/>
        </w:rPr>
        <w:t xml:space="preserve"> – Im Jahr 2018 wurde die medientechnische Ausstattung im ehemaligen Plenarsaal des Deutschen Bundestages</w:t>
      </w:r>
      <w:r>
        <w:rPr>
          <w:b/>
          <w:lang w:val="de-DE"/>
        </w:rPr>
        <w:t>, der heute als Teil des World Conference Center Bonn für Veranstaltungen zur Verfügung steht,</w:t>
      </w:r>
      <w:r w:rsidRPr="004E0469">
        <w:rPr>
          <w:b/>
          <w:lang w:val="de-DE"/>
        </w:rPr>
        <w:t xml:space="preserve"> unter Berücksichtigung umfangreicher Denkmalschutzauflagen auf den neuesten Stand gebracht. Wichtiger Bestandteil der hochwertigen Audio</w:t>
      </w:r>
      <w:r>
        <w:rPr>
          <w:b/>
          <w:lang w:val="de-DE"/>
        </w:rPr>
        <w:t>a</w:t>
      </w:r>
      <w:r w:rsidRPr="004E0469">
        <w:rPr>
          <w:b/>
          <w:lang w:val="de-DE"/>
        </w:rPr>
        <w:t>usstattung sind in Bonn seither 24 Sendestrecken aus der Sennheiser Digital 6000 Serie: Zwölf Doppelempfänger des Typs EM 6000 sowie 24 Handsender (SKM 6000 mit dauerpolarisierten ME 9004 Nieren-Kondensatorkapseln) und 24 Taschensender (SK 6000 mit HSP 4-3 Kondensator-Nackenbügelmikrofonen) inklusive passender Akkuladetechnik (3 x L 6000 Ladestation mit LM 6060/6061) stehen für Veranstaltungen bereit.</w:t>
      </w:r>
    </w:p>
    <w:bookmarkEnd w:id="2"/>
    <w:p w14:paraId="10D352F5" w14:textId="74CA69B0" w:rsidR="00D0201D" w:rsidRDefault="00D0201D" w:rsidP="0064392C">
      <w:pPr>
        <w:rPr>
          <w:b/>
          <w:lang w:val="de-DE"/>
        </w:rPr>
      </w:pPr>
    </w:p>
    <w:p w14:paraId="7D6DB716" w14:textId="77777777" w:rsidR="00D04DA7" w:rsidRPr="007134B1" w:rsidRDefault="00D04DA7" w:rsidP="00D04DA7">
      <w:pPr>
        <w:rPr>
          <w:b/>
          <w:lang w:val="de-DE"/>
        </w:rPr>
      </w:pPr>
      <w:r w:rsidRPr="007134B1">
        <w:rPr>
          <w:b/>
          <w:lang w:val="de-DE"/>
        </w:rPr>
        <w:t>Abhörsicher und störungsfrei</w:t>
      </w:r>
    </w:p>
    <w:p w14:paraId="7515D31B" w14:textId="77777777" w:rsidR="00D04DA7" w:rsidRPr="007134B1" w:rsidRDefault="00D04DA7" w:rsidP="00D04DA7">
      <w:pPr>
        <w:rPr>
          <w:lang w:val="de-DE"/>
        </w:rPr>
      </w:pPr>
      <w:r w:rsidRPr="007134B1">
        <w:rPr>
          <w:lang w:val="de-DE"/>
        </w:rPr>
        <w:t xml:space="preserve">Die Möglichkeit zu einer AES-verschlüsselten drahtlosen Signalübertragung ist bei den Sennheiser Digital 6000 Systemen gegeben, wird in Bonn jedoch nicht genutzt </w:t>
      </w:r>
      <w:r>
        <w:rPr>
          <w:lang w:val="de-DE"/>
        </w:rPr>
        <w:t>–</w:t>
      </w:r>
      <w:r w:rsidRPr="007134B1">
        <w:rPr>
          <w:lang w:val="de-DE"/>
        </w:rPr>
        <w:t xml:space="preserve"> die speziell beschichteten Glasscheiben des Plenarsaals sorgen ohnehin für weitgehende Abhörsicherheit. Störungen durch DVB-T oder LTE treten aufgrund der bereits zu Bundestagszeiten implementierten Schirmung nicht auf: „Sofern keine Fenster oder Balkontüren geöffnet werden, hat man im Gebäude keinen Empfang“, weiß Simon </w:t>
      </w:r>
      <w:proofErr w:type="spellStart"/>
      <w:r w:rsidRPr="007134B1">
        <w:rPr>
          <w:lang w:val="de-DE"/>
        </w:rPr>
        <w:t>Meidl</w:t>
      </w:r>
      <w:proofErr w:type="spellEnd"/>
      <w:r w:rsidRPr="007134B1">
        <w:rPr>
          <w:lang w:val="de-DE"/>
        </w:rPr>
        <w:t xml:space="preserve">, der als Projektleiter im Auftrag von </w:t>
      </w:r>
      <w:proofErr w:type="spellStart"/>
      <w:r w:rsidRPr="007134B1">
        <w:rPr>
          <w:lang w:val="de-DE"/>
        </w:rPr>
        <w:t>Kuchem</w:t>
      </w:r>
      <w:proofErr w:type="spellEnd"/>
      <w:r w:rsidRPr="007134B1">
        <w:rPr>
          <w:lang w:val="de-DE"/>
        </w:rPr>
        <w:t xml:space="preserve"> Konferenz Technik mit dem Betrieb der Medientechnik befasst ist.</w:t>
      </w:r>
    </w:p>
    <w:p w14:paraId="1445684C" w14:textId="77777777" w:rsidR="00D04DA7" w:rsidRDefault="00D04DA7" w:rsidP="0064392C">
      <w:pPr>
        <w:rPr>
          <w:b/>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114"/>
        <w:gridCol w:w="4756"/>
      </w:tblGrid>
      <w:tr w:rsidR="00D54C8A" w:rsidRPr="00D04DA7" w14:paraId="2A114829" w14:textId="77777777" w:rsidTr="001E75D1">
        <w:trPr>
          <w:trHeight w:val="3251"/>
        </w:trPr>
        <w:tc>
          <w:tcPr>
            <w:tcW w:w="3114" w:type="dxa"/>
          </w:tcPr>
          <w:p w14:paraId="7555C85F" w14:textId="45F8923D" w:rsidR="00D54C8A" w:rsidRPr="00855E0C" w:rsidRDefault="00D04DA7" w:rsidP="001E75D1">
            <w:pPr>
              <w:pStyle w:val="Beschriftung"/>
              <w:rPr>
                <w:lang w:val="de-DE"/>
              </w:rPr>
            </w:pPr>
            <w:r w:rsidRPr="00500E08">
              <w:rPr>
                <w:szCs w:val="15"/>
                <w:lang w:val="de-DE"/>
              </w:rPr>
              <w:t>Das SKM 6000 ermöglicht kabelloses Sprechen und bietet dabei zuverlässige Signalsicherheit</w:t>
            </w:r>
          </w:p>
        </w:tc>
        <w:tc>
          <w:tcPr>
            <w:tcW w:w="4756" w:type="dxa"/>
          </w:tcPr>
          <w:p w14:paraId="76F4D80C" w14:textId="7D48E317" w:rsidR="00D54C8A" w:rsidRPr="00D57198" w:rsidRDefault="00D04DA7" w:rsidP="001E75D1">
            <w:pPr>
              <w:rPr>
                <w:lang w:val="de-DE"/>
              </w:rPr>
            </w:pPr>
            <w:r>
              <w:rPr>
                <w:noProof/>
                <w:lang w:val="de-DE"/>
              </w:rPr>
              <w:drawing>
                <wp:inline distT="0" distB="0" distL="0" distR="0" wp14:anchorId="12DF400D" wp14:editId="41E8065D">
                  <wp:extent cx="2952750" cy="196215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inline>
              </w:drawing>
            </w:r>
          </w:p>
        </w:tc>
      </w:tr>
    </w:tbl>
    <w:p w14:paraId="4F586187" w14:textId="77777777" w:rsidR="00D04DA7" w:rsidRPr="007134B1" w:rsidRDefault="00D04DA7" w:rsidP="00D04DA7">
      <w:pPr>
        <w:rPr>
          <w:lang w:val="de-DE"/>
        </w:rPr>
      </w:pPr>
      <w:r w:rsidRPr="007134B1">
        <w:rPr>
          <w:lang w:val="de-DE"/>
        </w:rPr>
        <w:t xml:space="preserve">Die Sennheiser Sendestrecken werden in Bonn im Frequenzsegment A5 bis A8 (550 </w:t>
      </w:r>
      <w:r>
        <w:rPr>
          <w:lang w:val="de-DE"/>
        </w:rPr>
        <w:t>-</w:t>
      </w:r>
      <w:r w:rsidRPr="007134B1">
        <w:rPr>
          <w:lang w:val="de-DE"/>
        </w:rPr>
        <w:t xml:space="preserve"> 638 MHz) betrieben. Die einzelnen Übertragungsfrequenzen sind fest eingestellt und werden nicht geändert </w:t>
      </w:r>
      <w:r>
        <w:rPr>
          <w:lang w:val="de-DE"/>
        </w:rPr>
        <w:t>–</w:t>
      </w:r>
      <w:r w:rsidRPr="007134B1">
        <w:rPr>
          <w:lang w:val="de-DE"/>
        </w:rPr>
        <w:t xml:space="preserve"> gelegentlich bei Veranstaltungen „dazwischenfunkende“ EB-Teams sind </w:t>
      </w:r>
      <w:r w:rsidRPr="007134B1">
        <w:rPr>
          <w:lang w:val="de-DE"/>
        </w:rPr>
        <w:lastRenderedPageBreak/>
        <w:t>angehalten, ihre Setups entsprechend anzupassen. Für die vollständige Funkabdeckung des Saals sowie Teile des angrenzenden Foyers sorgen drei aktive Sennheiser AD 3700 Breitband-Richtantennen mit integrierten AB 3700 Antennen-Verstärkern.</w:t>
      </w:r>
    </w:p>
    <w:p w14:paraId="0CA246CC" w14:textId="77777777" w:rsidR="00D04DA7" w:rsidRDefault="00D04DA7" w:rsidP="00D04DA7">
      <w:pPr>
        <w:rPr>
          <w:lang w:val="de-DE"/>
        </w:rPr>
      </w:pPr>
    </w:p>
    <w:p w14:paraId="4882AFEA" w14:textId="77777777" w:rsidR="00D04DA7" w:rsidRDefault="00D04DA7" w:rsidP="00D04DA7">
      <w:pPr>
        <w:rPr>
          <w:lang w:val="de-DE"/>
        </w:rPr>
      </w:pPr>
      <w:r w:rsidRPr="007134B1">
        <w:rPr>
          <w:lang w:val="de-DE"/>
        </w:rPr>
        <w:t>Dass sich bei der digitalen Signalübertragung mehr Funkstrecken innerhalb eines gegebenen Frequenzfensters unterbringen lassen als bei analogen Drahtlossystemen, ist im Plenarsaal insbesondere dann von Vorteil, wenn bei großen Veranstaltungen in den umgebenden Räumlichkeiten Breakout-Sessions oder Workshops anberaumt sind: Es bleibt ausreichend Platz für alle Aktivitäten, welche den Einsatz von Wireless-Technik erfordern.</w:t>
      </w:r>
    </w:p>
    <w:p w14:paraId="7974225D" w14:textId="12790702" w:rsidR="00C47AFA" w:rsidRDefault="00C47AFA" w:rsidP="0064392C">
      <w:pPr>
        <w:rPr>
          <w:b/>
          <w:lang w:val="de-DE"/>
        </w:rPr>
      </w:pPr>
    </w:p>
    <w:p w14:paraId="0AD377F4" w14:textId="77777777" w:rsidR="00D04DA7" w:rsidRPr="00D04DA7" w:rsidRDefault="00D04DA7" w:rsidP="0064392C">
      <w:pPr>
        <w:rPr>
          <w:b/>
          <w:lang w:val="de-DE"/>
        </w:rPr>
      </w:pPr>
      <w:r w:rsidRPr="00D04DA7">
        <w:rPr>
          <w:b/>
          <w:lang w:val="de-DE"/>
        </w:rPr>
        <w:t>Übersicht aus der Ferne</w:t>
      </w:r>
    </w:p>
    <w:p w14:paraId="23BAE6DD" w14:textId="28749E92" w:rsidR="00C147E5" w:rsidRDefault="00D04DA7" w:rsidP="00D04DA7">
      <w:pPr>
        <w:rPr>
          <w:lang w:val="de-DE"/>
        </w:rPr>
      </w:pPr>
      <w:r w:rsidRPr="008A6BFF">
        <w:rPr>
          <w:lang w:val="de-DE"/>
        </w:rPr>
        <w:t xml:space="preserve">Als Fernüberwachung und -steuerung der Sendestrecken dient den Technikern die Sennheiser WSM-Software. Der Wireless System Manager wird nicht zuletzt herangezogen, um die HF-Pegel sowie die Ladezustände der Akkupacks komfortabel im an den Plenarsaal grenzenden Regieraum zu kontrollieren. Tonspezialist Oliver von </w:t>
      </w:r>
      <w:proofErr w:type="spellStart"/>
      <w:r w:rsidRPr="008A6BFF">
        <w:rPr>
          <w:lang w:val="de-DE"/>
        </w:rPr>
        <w:t>Klösterlein</w:t>
      </w:r>
      <w:proofErr w:type="spellEnd"/>
      <w:r w:rsidRPr="008A6BFF">
        <w:rPr>
          <w:lang w:val="de-DE"/>
        </w:rPr>
        <w:t xml:space="preserve">, </w:t>
      </w:r>
      <w:proofErr w:type="gramStart"/>
      <w:r w:rsidRPr="008A6BFF">
        <w:rPr>
          <w:lang w:val="de-DE"/>
        </w:rPr>
        <w:t>der zahllose Veranstaltungen</w:t>
      </w:r>
      <w:proofErr w:type="gramEnd"/>
      <w:r w:rsidRPr="008A6BFF">
        <w:rPr>
          <w:lang w:val="de-DE"/>
        </w:rPr>
        <w:t xml:space="preserve"> im Saal erfolgreich betreut hat, berichtet über eine komfortable Handhabung der Sennheiser Akkus und nennt eine typische Betriebsdauer von rund sechs Stunden. Die Akkus können bei Events, die sich über den ganzen Tag erstrecken, während der Mittagspause gegen frisch geladene Energieträger ausgetauscht werden</w:t>
      </w:r>
    </w:p>
    <w:p w14:paraId="1CF413EB" w14:textId="77777777" w:rsidR="00D04DA7" w:rsidRPr="00D04DA7" w:rsidRDefault="00D04DA7" w:rsidP="00D04DA7">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4390"/>
        <w:gridCol w:w="3480"/>
      </w:tblGrid>
      <w:tr w:rsidR="00662E05" w:rsidRPr="002E415C" w14:paraId="656AADA8" w14:textId="77777777" w:rsidTr="00662E05">
        <w:tc>
          <w:tcPr>
            <w:tcW w:w="4390" w:type="dxa"/>
          </w:tcPr>
          <w:p w14:paraId="72520E91" w14:textId="5094ACC8" w:rsidR="00662E05" w:rsidRPr="00855E0C" w:rsidRDefault="00D04DA7" w:rsidP="00484AD2">
            <w:pPr>
              <w:pStyle w:val="Beschriftung"/>
              <w:rPr>
                <w:lang w:val="de-DE"/>
              </w:rPr>
            </w:pPr>
            <w:r>
              <w:rPr>
                <w:noProof/>
                <w:lang w:val="de-DE"/>
              </w:rPr>
              <w:drawing>
                <wp:inline distT="0" distB="0" distL="0" distR="0" wp14:anchorId="00566A7F" wp14:editId="3FD7B056">
                  <wp:extent cx="2705100" cy="1800225"/>
                  <wp:effectExtent l="0" t="0" r="0" b="952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5100" cy="1800225"/>
                          </a:xfrm>
                          <a:prstGeom prst="rect">
                            <a:avLst/>
                          </a:prstGeom>
                          <a:noFill/>
                          <a:ln>
                            <a:noFill/>
                          </a:ln>
                        </pic:spPr>
                      </pic:pic>
                    </a:graphicData>
                  </a:graphic>
                </wp:inline>
              </w:drawing>
            </w:r>
          </w:p>
        </w:tc>
        <w:tc>
          <w:tcPr>
            <w:tcW w:w="3480" w:type="dxa"/>
          </w:tcPr>
          <w:p w14:paraId="5105C530" w14:textId="65508683" w:rsidR="00662E05" w:rsidRPr="00D57198" w:rsidRDefault="00D04DA7" w:rsidP="00662E05">
            <w:pPr>
              <w:spacing w:line="240" w:lineRule="auto"/>
              <w:rPr>
                <w:lang w:val="de-DE"/>
              </w:rPr>
            </w:pPr>
            <w:r w:rsidRPr="00D04DA7">
              <w:rPr>
                <w:sz w:val="15"/>
                <w:szCs w:val="15"/>
                <w:lang w:val="de-DE"/>
              </w:rPr>
              <w:t>Der Wireless System Manager lässt eine umfassende Überwachung und Steuerung der Sendestrecken zu</w:t>
            </w:r>
          </w:p>
        </w:tc>
      </w:tr>
    </w:tbl>
    <w:p w14:paraId="060C3F48" w14:textId="5D4546F3" w:rsidR="00662E05" w:rsidRDefault="00662E05" w:rsidP="00286C75">
      <w:pPr>
        <w:rPr>
          <w:lang w:val="de-DE"/>
        </w:rPr>
      </w:pPr>
    </w:p>
    <w:p w14:paraId="01C1DAE4" w14:textId="77777777" w:rsidR="00D04DA7" w:rsidRPr="00557338" w:rsidRDefault="00D04DA7" w:rsidP="00D04DA7">
      <w:pPr>
        <w:rPr>
          <w:lang w:val="de-DE"/>
        </w:rPr>
      </w:pPr>
      <w:bookmarkStart w:id="3" w:name="_Hlk12545773"/>
      <w:r w:rsidRPr="002D0BD4">
        <w:rPr>
          <w:lang w:val="de-DE"/>
        </w:rPr>
        <w:t>Die Sennheiser EM 6000 Doppelempfänger befinden sich abgesetzt vom Regieraum in einer Technikzentrale im Untergeschoss des Gebäudes und sind aus Gründen der Betriebssicherheit redundant</w:t>
      </w:r>
      <w:r>
        <w:rPr>
          <w:lang w:val="de-DE"/>
        </w:rPr>
        <w:t>,</w:t>
      </w:r>
      <w:r w:rsidRPr="002D0BD4">
        <w:rPr>
          <w:lang w:val="de-DE"/>
        </w:rPr>
        <w:t xml:space="preserve"> sowohl über ihre AES/EBU-Schnittstellen als auch via Dante an das hausintern zum Einsatz kommende AV-Netzwerk angebunden. Im digitalen Systemverbund werden die EM 6000 Receiver über Dante </w:t>
      </w:r>
      <w:proofErr w:type="spellStart"/>
      <w:r w:rsidRPr="002D0BD4">
        <w:rPr>
          <w:lang w:val="de-DE"/>
        </w:rPr>
        <w:t>geclockt</w:t>
      </w:r>
      <w:proofErr w:type="spellEnd"/>
      <w:r w:rsidRPr="002D0BD4">
        <w:rPr>
          <w:lang w:val="de-DE"/>
        </w:rPr>
        <w:t>.</w:t>
      </w:r>
    </w:p>
    <w:bookmarkEnd w:id="3"/>
    <w:p w14:paraId="45BFBFAE" w14:textId="04F710FB" w:rsidR="00D04DA7" w:rsidRDefault="00D04DA7" w:rsidP="00286C75">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114"/>
        <w:gridCol w:w="4756"/>
      </w:tblGrid>
      <w:tr w:rsidR="00D04DA7" w:rsidRPr="00D04DA7" w14:paraId="5C0542FB" w14:textId="77777777" w:rsidTr="00DF1A37">
        <w:trPr>
          <w:trHeight w:val="3251"/>
        </w:trPr>
        <w:tc>
          <w:tcPr>
            <w:tcW w:w="3114" w:type="dxa"/>
          </w:tcPr>
          <w:p w14:paraId="65795804" w14:textId="7650974F" w:rsidR="00D04DA7" w:rsidRPr="00855E0C" w:rsidRDefault="00D04DA7" w:rsidP="00DF1A37">
            <w:pPr>
              <w:pStyle w:val="Beschriftung"/>
              <w:rPr>
                <w:lang w:val="de-DE"/>
              </w:rPr>
            </w:pPr>
            <w:r w:rsidRPr="002F6C52">
              <w:rPr>
                <w:lang w:val="de-DE"/>
              </w:rPr>
              <w:lastRenderedPageBreak/>
              <w:t>3 Sennheiser L 6000 Ladestationen mit LM 6060/6061 stehen für Veranstaltungen bereit</w:t>
            </w:r>
          </w:p>
        </w:tc>
        <w:tc>
          <w:tcPr>
            <w:tcW w:w="4756" w:type="dxa"/>
          </w:tcPr>
          <w:p w14:paraId="7B32842A" w14:textId="37F45A08" w:rsidR="00D04DA7" w:rsidRPr="00D57198" w:rsidRDefault="00D04DA7" w:rsidP="00DF1A37">
            <w:pPr>
              <w:rPr>
                <w:lang w:val="de-DE"/>
              </w:rPr>
            </w:pPr>
            <w:r>
              <w:rPr>
                <w:noProof/>
                <w:lang w:val="de-DE"/>
              </w:rPr>
              <w:drawing>
                <wp:inline distT="0" distB="0" distL="0" distR="0" wp14:anchorId="63FE0BC7" wp14:editId="40EBFA76">
                  <wp:extent cx="2952750" cy="196215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inline>
              </w:drawing>
            </w:r>
          </w:p>
        </w:tc>
      </w:tr>
    </w:tbl>
    <w:p w14:paraId="155330D9" w14:textId="0CC99D27" w:rsidR="00D04DA7" w:rsidRDefault="00D04DA7" w:rsidP="00286C75">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4390"/>
        <w:gridCol w:w="3480"/>
      </w:tblGrid>
      <w:tr w:rsidR="00D04DA7" w:rsidRPr="002E415C" w14:paraId="77786578" w14:textId="77777777" w:rsidTr="00DF1A37">
        <w:tc>
          <w:tcPr>
            <w:tcW w:w="4390" w:type="dxa"/>
          </w:tcPr>
          <w:p w14:paraId="790D3A17" w14:textId="40ED64A8" w:rsidR="00D04DA7" w:rsidRPr="00855E0C" w:rsidRDefault="00D04DA7" w:rsidP="00DF1A37">
            <w:pPr>
              <w:pStyle w:val="Beschriftung"/>
              <w:rPr>
                <w:lang w:val="de-DE"/>
              </w:rPr>
            </w:pPr>
            <w:r>
              <w:rPr>
                <w:noProof/>
                <w:lang w:val="de-DE"/>
              </w:rPr>
              <w:drawing>
                <wp:inline distT="0" distB="0" distL="0" distR="0" wp14:anchorId="4017A12D" wp14:editId="4CC872EA">
                  <wp:extent cx="2705100" cy="1800225"/>
                  <wp:effectExtent l="0" t="0" r="0" b="952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05100" cy="1800225"/>
                          </a:xfrm>
                          <a:prstGeom prst="rect">
                            <a:avLst/>
                          </a:prstGeom>
                          <a:noFill/>
                          <a:ln>
                            <a:noFill/>
                          </a:ln>
                        </pic:spPr>
                      </pic:pic>
                    </a:graphicData>
                  </a:graphic>
                </wp:inline>
              </w:drawing>
            </w:r>
          </w:p>
        </w:tc>
        <w:tc>
          <w:tcPr>
            <w:tcW w:w="3480" w:type="dxa"/>
          </w:tcPr>
          <w:p w14:paraId="0B7A8CCE" w14:textId="5419FE1B" w:rsidR="00D04DA7" w:rsidRPr="00D57198" w:rsidRDefault="00D04DA7" w:rsidP="00DF1A37">
            <w:pPr>
              <w:spacing w:line="240" w:lineRule="auto"/>
              <w:rPr>
                <w:lang w:val="de-DE"/>
              </w:rPr>
            </w:pPr>
            <w:r>
              <w:rPr>
                <w:sz w:val="15"/>
                <w:szCs w:val="15"/>
                <w:lang w:val="de-DE"/>
              </w:rPr>
              <w:t xml:space="preserve">In der Technikzentrale des Gebäudes befinden sich die Sennheiser </w:t>
            </w:r>
            <w:r w:rsidRPr="002F6C52">
              <w:rPr>
                <w:sz w:val="15"/>
                <w:szCs w:val="15"/>
                <w:lang w:val="de-DE"/>
              </w:rPr>
              <w:t>EM 6000 Doppelempfänger</w:t>
            </w:r>
          </w:p>
        </w:tc>
      </w:tr>
    </w:tbl>
    <w:p w14:paraId="342CE308" w14:textId="2A48925B" w:rsidR="00D04DA7" w:rsidRDefault="00D04DA7" w:rsidP="00286C75">
      <w:pPr>
        <w:rPr>
          <w:lang w:val="de-DE"/>
        </w:rPr>
      </w:pPr>
    </w:p>
    <w:p w14:paraId="3D237391" w14:textId="5C21BC55" w:rsidR="00D04DA7" w:rsidRPr="002E415C" w:rsidRDefault="00D04DA7" w:rsidP="00286C75">
      <w:pPr>
        <w:rPr>
          <w:b/>
          <w:lang w:val="de-DE"/>
        </w:rPr>
      </w:pPr>
      <w:r w:rsidRPr="002E415C">
        <w:rPr>
          <w:b/>
          <w:lang w:val="de-DE"/>
        </w:rPr>
        <w:t>Zuverlässig ohne Probleme</w:t>
      </w:r>
    </w:p>
    <w:p w14:paraId="1542F6F4" w14:textId="57B749E7" w:rsidR="00D04DA7" w:rsidRDefault="00D04DA7" w:rsidP="00286C75">
      <w:pPr>
        <w:rPr>
          <w:szCs w:val="18"/>
          <w:lang w:val="de-DE"/>
        </w:rPr>
      </w:pPr>
      <w:r w:rsidRPr="002F6C52">
        <w:rPr>
          <w:szCs w:val="18"/>
          <w:lang w:val="de-DE"/>
        </w:rPr>
        <w:t xml:space="preserve">Seit der medientechnischen Neuausstattung haben sich die Sennheiser Digital 6000 Systeme im Bonner Plenarsaal als außerordentlich zuverlässig erwiesen. Oliver von </w:t>
      </w:r>
      <w:proofErr w:type="spellStart"/>
      <w:r w:rsidRPr="002F6C52">
        <w:rPr>
          <w:szCs w:val="18"/>
          <w:lang w:val="de-DE"/>
        </w:rPr>
        <w:t>Klösterlein</w:t>
      </w:r>
      <w:proofErr w:type="spellEnd"/>
      <w:r w:rsidRPr="002F6C52">
        <w:rPr>
          <w:szCs w:val="18"/>
          <w:lang w:val="de-DE"/>
        </w:rPr>
        <w:t xml:space="preserve"> berichtet besonders zufrieden über ihre „sehr stabile“ Funktion. Der Einsatz von Hand- und Taschensendern hält sich in Bonn die Waage und ist von individuellen Präferenzen der Vortragenden abhängig. Die Handsender werden auch genutzt, um beispielsweise bei Q&amp;A-Sessions Stimmen aus dem Publikum einzufangen. Die Zahl der parallel zum Einsatz kommenden Sender variiert je nach Veranstaltung - bis zu 16 zeitgleich genutzte Strecken sind keine Seltenheit</w:t>
      </w:r>
      <w:r>
        <w:rPr>
          <w:szCs w:val="18"/>
          <w:lang w:val="de-DE"/>
        </w:rPr>
        <w:t>.</w:t>
      </w:r>
    </w:p>
    <w:p w14:paraId="18E6F680" w14:textId="2CFF7159" w:rsidR="00D04DA7" w:rsidRDefault="00D04DA7" w:rsidP="00286C75">
      <w:pPr>
        <w:rPr>
          <w:lang w:val="de-DE"/>
        </w:rPr>
      </w:pPr>
    </w:p>
    <w:p w14:paraId="19C83370" w14:textId="1698F3CA" w:rsidR="00D04DA7" w:rsidRDefault="00D04DA7" w:rsidP="00D04DA7">
      <w:pPr>
        <w:rPr>
          <w:lang w:val="de-DE"/>
        </w:rPr>
      </w:pPr>
      <w:r w:rsidRPr="002D0BD4">
        <w:rPr>
          <w:lang w:val="de-DE"/>
        </w:rPr>
        <w:t xml:space="preserve">„Es sind gute Produkte, mit denen man prima arbeiten kann“, antwortet Oliver von </w:t>
      </w:r>
      <w:proofErr w:type="spellStart"/>
      <w:r w:rsidRPr="002D0BD4">
        <w:rPr>
          <w:lang w:val="de-DE"/>
        </w:rPr>
        <w:t>Klösterlein</w:t>
      </w:r>
      <w:proofErr w:type="spellEnd"/>
      <w:r w:rsidRPr="002D0BD4">
        <w:rPr>
          <w:lang w:val="de-DE"/>
        </w:rPr>
        <w:t xml:space="preserve"> auf die Frage nach seiner Einschätzung zu den neuen Sennheiser Digital 6000Systemen.</w:t>
      </w:r>
      <w:r>
        <w:rPr>
          <w:lang w:val="de-DE"/>
        </w:rPr>
        <w:t xml:space="preserve"> </w:t>
      </w:r>
      <w:r w:rsidRPr="002D0BD4">
        <w:rPr>
          <w:lang w:val="de-DE"/>
        </w:rPr>
        <w:t>„Die</w:t>
      </w:r>
      <w:r>
        <w:rPr>
          <w:lang w:val="de-DE"/>
        </w:rPr>
        <w:t xml:space="preserve"> </w:t>
      </w:r>
      <w:r w:rsidRPr="002D0BD4">
        <w:rPr>
          <w:lang w:val="de-DE"/>
        </w:rPr>
        <w:t>Funkstrecken funktionieren zuverlässig und bereiten uns im tägliche</w:t>
      </w:r>
      <w:r>
        <w:rPr>
          <w:lang w:val="de-DE"/>
        </w:rPr>
        <w:t xml:space="preserve">n </w:t>
      </w:r>
      <w:r w:rsidRPr="002D0BD4">
        <w:rPr>
          <w:lang w:val="de-DE"/>
        </w:rPr>
        <w:t>Einsatz keine Probleme.</w:t>
      </w:r>
      <w:r>
        <w:rPr>
          <w:lang w:val="de-DE"/>
        </w:rPr>
        <w:t>“</w:t>
      </w:r>
    </w:p>
    <w:p w14:paraId="5EAC1CF3" w14:textId="783C602D" w:rsidR="00D04DA7" w:rsidRDefault="00D04DA7" w:rsidP="00286C75">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114"/>
        <w:gridCol w:w="4756"/>
      </w:tblGrid>
      <w:tr w:rsidR="00D04DA7" w:rsidRPr="00D04DA7" w14:paraId="41D00015" w14:textId="77777777" w:rsidTr="00DF1A37">
        <w:trPr>
          <w:trHeight w:val="3251"/>
        </w:trPr>
        <w:tc>
          <w:tcPr>
            <w:tcW w:w="3114" w:type="dxa"/>
          </w:tcPr>
          <w:p w14:paraId="79C6792C" w14:textId="2D4B6CF6" w:rsidR="00D04DA7" w:rsidRPr="00855E0C" w:rsidRDefault="00D04DA7" w:rsidP="00DF1A37">
            <w:pPr>
              <w:pStyle w:val="Beschriftung"/>
              <w:rPr>
                <w:lang w:val="de-DE"/>
              </w:rPr>
            </w:pPr>
            <w:r>
              <w:rPr>
                <w:szCs w:val="15"/>
                <w:lang w:val="de-DE"/>
              </w:rPr>
              <w:lastRenderedPageBreak/>
              <w:t>Hand- und Taschensender werden gleichermaßen von den Vortragenden verwendet</w:t>
            </w:r>
          </w:p>
        </w:tc>
        <w:tc>
          <w:tcPr>
            <w:tcW w:w="4756" w:type="dxa"/>
          </w:tcPr>
          <w:p w14:paraId="4E23786E" w14:textId="54560BF6" w:rsidR="00D04DA7" w:rsidRPr="00D57198" w:rsidRDefault="00D04DA7" w:rsidP="00DF1A37">
            <w:pPr>
              <w:rPr>
                <w:lang w:val="de-DE"/>
              </w:rPr>
            </w:pPr>
            <w:r>
              <w:rPr>
                <w:noProof/>
                <w:lang w:val="de-DE"/>
              </w:rPr>
              <w:drawing>
                <wp:inline distT="0" distB="0" distL="0" distR="0" wp14:anchorId="534E4091" wp14:editId="070E8D79">
                  <wp:extent cx="2952750" cy="196215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inline>
              </w:drawing>
            </w:r>
          </w:p>
        </w:tc>
      </w:tr>
    </w:tbl>
    <w:p w14:paraId="3F429E7A" w14:textId="0415AE45" w:rsidR="00D04DA7" w:rsidRDefault="00D04DA7" w:rsidP="00286C75">
      <w:pPr>
        <w:rPr>
          <w:lang w:val="de-DE"/>
        </w:rPr>
      </w:pPr>
    </w:p>
    <w:p w14:paraId="69F2DBFC" w14:textId="77777777" w:rsidR="00D04DA7" w:rsidRDefault="00D04DA7" w:rsidP="00D04DA7">
      <w:pPr>
        <w:rPr>
          <w:b/>
          <w:lang w:val="de-DE"/>
        </w:rPr>
      </w:pPr>
      <w:r w:rsidRPr="006D7959">
        <w:rPr>
          <w:b/>
          <w:lang w:val="de-DE"/>
        </w:rPr>
        <w:t>Veranstaltungsort mit Geschichte: Plenarsaal im Worl</w:t>
      </w:r>
      <w:r>
        <w:rPr>
          <w:b/>
          <w:lang w:val="de-DE"/>
        </w:rPr>
        <w:t xml:space="preserve">d Conference Center </w:t>
      </w:r>
      <w:r w:rsidRPr="006D7959">
        <w:rPr>
          <w:b/>
          <w:lang w:val="de-DE"/>
        </w:rPr>
        <w:t>Bonn</w:t>
      </w:r>
    </w:p>
    <w:p w14:paraId="24EE530D" w14:textId="77777777" w:rsidR="00D04DA7" w:rsidRPr="006D7959" w:rsidRDefault="00D04DA7" w:rsidP="00D04DA7">
      <w:pPr>
        <w:rPr>
          <w:lang w:val="de-DE"/>
        </w:rPr>
      </w:pPr>
      <w:r w:rsidRPr="006D7959">
        <w:rPr>
          <w:lang w:val="de-DE"/>
        </w:rPr>
        <w:t>Zu Zeiten der „Bonner Republik“ diente das nach Plänen der Architekten Behnisch &amp; Partner in Bonn errichtete Plenargebäude dem deutschen Parlament zwischen 1992 und 1999 als Tagungsort. Der Plenarsaal verfügt über 734 Sitzplätze im Saal sowie weitere 496 Sitzplätze auf einer Tribüne. An das Plenum grenzt eine weitläufige Lobby. Das geschichtsträchtige Ensemble befindet sich in unmittelbarer Nähe zum Rhein</w:t>
      </w:r>
      <w:r>
        <w:rPr>
          <w:lang w:val="de-DE"/>
        </w:rPr>
        <w:t xml:space="preserve"> und</w:t>
      </w:r>
      <w:r w:rsidRPr="006D7959">
        <w:rPr>
          <w:lang w:val="de-DE"/>
        </w:rPr>
        <w:t xml:space="preserve"> gilt als eines der weltweit schönsten Parlamentsgebäude. Blickfänger im von Tageslicht durchfluteten Plenarsaal ist die hoch über dem Geschehen schwebende Aluminiumskulptur eines Bundesadlers. Seit 1999 wird das Plenargebäude als Kongresszentrum genutzt. Gemeinsam mit dem 2015 fertiggestellten Hauptgebäude bildet es das World Conference Center Bonn (WCCB), das Platz für Veranstaltungen aller Art mit bis zu 7.000 Teilnehmern bietet.</w:t>
      </w:r>
    </w:p>
    <w:p w14:paraId="4ECB2EA2" w14:textId="54682927" w:rsidR="00D04DA7" w:rsidRDefault="00D04DA7" w:rsidP="00286C75">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4390"/>
        <w:gridCol w:w="3480"/>
      </w:tblGrid>
      <w:tr w:rsidR="00D04DA7" w:rsidRPr="002E415C" w14:paraId="367E6E70" w14:textId="77777777" w:rsidTr="00DF1A37">
        <w:tc>
          <w:tcPr>
            <w:tcW w:w="4390" w:type="dxa"/>
          </w:tcPr>
          <w:p w14:paraId="7A4E1986" w14:textId="0E4147F9" w:rsidR="00D04DA7" w:rsidRPr="00855E0C" w:rsidRDefault="002E415C" w:rsidP="00DF1A37">
            <w:pPr>
              <w:pStyle w:val="Beschriftung"/>
              <w:rPr>
                <w:lang w:val="de-DE"/>
              </w:rPr>
            </w:pPr>
            <w:bookmarkStart w:id="4" w:name="_GoBack"/>
            <w:bookmarkEnd w:id="4"/>
            <w:r>
              <w:rPr>
                <w:noProof/>
                <w:lang w:val="de-DE"/>
              </w:rPr>
              <w:drawing>
                <wp:inline distT="0" distB="0" distL="0" distR="0" wp14:anchorId="6413B2F9" wp14:editId="0A62E03D">
                  <wp:extent cx="2705100" cy="180022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05100" cy="1800225"/>
                          </a:xfrm>
                          <a:prstGeom prst="rect">
                            <a:avLst/>
                          </a:prstGeom>
                          <a:noFill/>
                          <a:ln>
                            <a:noFill/>
                          </a:ln>
                        </pic:spPr>
                      </pic:pic>
                    </a:graphicData>
                  </a:graphic>
                </wp:inline>
              </w:drawing>
            </w:r>
          </w:p>
        </w:tc>
        <w:tc>
          <w:tcPr>
            <w:tcW w:w="3480" w:type="dxa"/>
          </w:tcPr>
          <w:p w14:paraId="21362D8E" w14:textId="4AE2E043" w:rsidR="00D04DA7" w:rsidRPr="00D57198" w:rsidRDefault="00D04DA7" w:rsidP="00DF1A37">
            <w:pPr>
              <w:spacing w:line="240" w:lineRule="auto"/>
              <w:rPr>
                <w:lang w:val="de-DE"/>
              </w:rPr>
            </w:pPr>
            <w:r w:rsidRPr="00D04DA7">
              <w:rPr>
                <w:sz w:val="15"/>
                <w:szCs w:val="15"/>
                <w:lang w:val="de-DE"/>
              </w:rPr>
              <w:t>Der Plenarsaal in Bonn wurde zwischen 1992 und 1999 als Tagungsort des deutschen Parlamentes genutzt. Seitdem steht der Plenarsaal als Teil des Bonner Kongresszentrums für Veranstaltungen aller Art zur Verfügung</w:t>
            </w:r>
          </w:p>
        </w:tc>
      </w:tr>
    </w:tbl>
    <w:p w14:paraId="3AFF96EF" w14:textId="7CC24E4A" w:rsidR="00D04DA7" w:rsidRDefault="00D04DA7" w:rsidP="00286C75">
      <w:pPr>
        <w:rPr>
          <w:lang w:val="de-DE"/>
        </w:rPr>
      </w:pPr>
    </w:p>
    <w:p w14:paraId="0D41E931" w14:textId="77777777" w:rsidR="00D04DA7" w:rsidRPr="006D7959" w:rsidRDefault="00D04DA7" w:rsidP="00D04DA7">
      <w:pPr>
        <w:rPr>
          <w:lang w:val="de-DE"/>
        </w:rPr>
      </w:pPr>
      <w:r w:rsidRPr="006D7959">
        <w:rPr>
          <w:lang w:val="de-DE"/>
        </w:rPr>
        <w:t xml:space="preserve">Für die Planung der im Jahr 2018 in den Plenarsaal neu eingebrachten Medientechnik war die </w:t>
      </w:r>
      <w:proofErr w:type="spellStart"/>
      <w:r w:rsidRPr="006D7959">
        <w:rPr>
          <w:lang w:val="de-DE"/>
        </w:rPr>
        <w:t>Graner</w:t>
      </w:r>
      <w:proofErr w:type="spellEnd"/>
      <w:r w:rsidRPr="006D7959">
        <w:rPr>
          <w:lang w:val="de-DE"/>
        </w:rPr>
        <w:t xml:space="preserve"> + Partner GmbH verantwortlich. Die Integration übernahm die SALZBRENNER </w:t>
      </w:r>
      <w:proofErr w:type="spellStart"/>
      <w:r w:rsidRPr="006D7959">
        <w:rPr>
          <w:lang w:val="de-DE"/>
        </w:rPr>
        <w:t>media</w:t>
      </w:r>
      <w:proofErr w:type="spellEnd"/>
      <w:r w:rsidRPr="006D7959">
        <w:rPr>
          <w:lang w:val="de-DE"/>
        </w:rPr>
        <w:t xml:space="preserve"> GmbH. Wertvolle Anregungen aus der Praxis steuerte </w:t>
      </w:r>
      <w:proofErr w:type="spellStart"/>
      <w:r w:rsidRPr="006D7959">
        <w:rPr>
          <w:lang w:val="de-DE"/>
        </w:rPr>
        <w:t>Kuchem</w:t>
      </w:r>
      <w:proofErr w:type="spellEnd"/>
      <w:r w:rsidRPr="006D7959">
        <w:rPr>
          <w:lang w:val="de-DE"/>
        </w:rPr>
        <w:t xml:space="preserve"> Konferenz Technik bei: Das branchenbekannte Unternehmen ist offizieller Konferenztechnikpartner des World Conference </w:t>
      </w:r>
      <w:r w:rsidRPr="006D7959">
        <w:rPr>
          <w:lang w:val="de-DE"/>
        </w:rPr>
        <w:lastRenderedPageBreak/>
        <w:t xml:space="preserve">Center Bonn. Betreibergesellschaft des </w:t>
      </w:r>
      <w:r>
        <w:rPr>
          <w:lang w:val="de-DE"/>
        </w:rPr>
        <w:t>WCCB</w:t>
      </w:r>
      <w:r w:rsidRPr="006D7959">
        <w:rPr>
          <w:lang w:val="de-DE"/>
        </w:rPr>
        <w:t xml:space="preserve"> (www.worldccbonn.com) ist die Bonn Conference Center Management GmbH.</w:t>
      </w:r>
    </w:p>
    <w:p w14:paraId="349BA304" w14:textId="77777777" w:rsidR="00D04DA7" w:rsidRDefault="00D04DA7" w:rsidP="00D04DA7">
      <w:pPr>
        <w:autoSpaceDE w:val="0"/>
        <w:autoSpaceDN w:val="0"/>
        <w:adjustRightInd w:val="0"/>
        <w:spacing w:line="240" w:lineRule="auto"/>
        <w:rPr>
          <w:rFonts w:ascii="Sennheiser Office" w:hAnsi="Sennheiser Office" w:cs="Sennheiser Office"/>
          <w:b/>
          <w:bCs/>
          <w:color w:val="000000"/>
          <w:szCs w:val="18"/>
          <w:lang w:val="de-DE"/>
        </w:rPr>
      </w:pPr>
    </w:p>
    <w:p w14:paraId="51C99C5B" w14:textId="77777777" w:rsidR="00D04DA7" w:rsidRDefault="00D04DA7" w:rsidP="00D04DA7">
      <w:pPr>
        <w:autoSpaceDE w:val="0"/>
        <w:autoSpaceDN w:val="0"/>
        <w:adjustRightInd w:val="0"/>
        <w:spacing w:line="240" w:lineRule="auto"/>
        <w:rPr>
          <w:rFonts w:ascii="Sennheiser Office" w:hAnsi="Sennheiser Office" w:cs="Sennheiser Office"/>
          <w:b/>
          <w:bCs/>
          <w:color w:val="000000"/>
          <w:szCs w:val="18"/>
          <w:lang w:val="de-DE"/>
        </w:rPr>
      </w:pPr>
    </w:p>
    <w:p w14:paraId="3E8028F9" w14:textId="77777777" w:rsidR="00D04DA7" w:rsidRDefault="00D04DA7" w:rsidP="00D04DA7">
      <w:pPr>
        <w:pStyle w:val="About"/>
        <w:rPr>
          <w:b/>
          <w:noProof/>
          <w:lang w:val="de-DE"/>
        </w:rPr>
      </w:pPr>
      <w:r>
        <w:rPr>
          <w:b/>
          <w:noProof/>
          <w:lang w:val="de-DE"/>
        </w:rPr>
        <w:t>Über Sennheiser</w:t>
      </w:r>
    </w:p>
    <w:p w14:paraId="55B0B119" w14:textId="77777777" w:rsidR="00D04DA7" w:rsidRPr="00C96445" w:rsidRDefault="00D04DA7" w:rsidP="00D04DA7">
      <w:pPr>
        <w:spacing w:line="240" w:lineRule="auto"/>
        <w:rPr>
          <w:color w:val="0095D5" w:themeColor="accent1"/>
          <w:szCs w:val="18"/>
          <w:lang w:val="de-DE"/>
        </w:rPr>
      </w:pPr>
      <w:r>
        <w:rPr>
          <w:noProof/>
          <w:lang w:val="de-DE"/>
        </w:rPr>
        <w:t>Die Zukunft der Audio-Welt zu gestalten und für Kunden einzigartige Sound-Erlebnisse zu schaffen – dieser Anspruch eint Sennheiser-Mitarbeiter und -Partner weltweit.</w:t>
      </w:r>
      <w:r w:rsidRPr="00C96445">
        <w:rPr>
          <w:lang w:val="de-DE"/>
        </w:rPr>
        <w:t xml:space="preserve"> Das 1945 gegründete Familienunternehmen ist einer der führenden Hersteller von Kopfhörern, Lautsprechern, Mikrofonen und drahtloser Übertragungstechnik. Seit 2013 leiten Daniel Sennheiser und Dr. Andreas Sennheiser das Unternehmen in der dritten Generation. Der Umsatz der Sennheiser-Gruppe lag 2018 bei 710,7 Millionen Euro. </w:t>
      </w:r>
      <w:r w:rsidRPr="00C96445">
        <w:rPr>
          <w:color w:val="0096D6"/>
          <w:szCs w:val="18"/>
          <w:lang w:val="de-DE"/>
        </w:rPr>
        <w:t>www.sennheiser.com</w:t>
      </w:r>
    </w:p>
    <w:p w14:paraId="7686E159" w14:textId="77777777" w:rsidR="00D04DA7" w:rsidRDefault="00D04DA7" w:rsidP="00D04DA7">
      <w:pPr>
        <w:pStyle w:val="Contact"/>
        <w:rPr>
          <w:b/>
          <w:noProof/>
          <w:lang w:val="de-DE"/>
        </w:rPr>
      </w:pPr>
    </w:p>
    <w:p w14:paraId="2F80084C" w14:textId="77777777" w:rsidR="00D04DA7" w:rsidRDefault="00D04DA7" w:rsidP="00D04DA7">
      <w:pPr>
        <w:pStyle w:val="Contact"/>
        <w:rPr>
          <w:b/>
          <w:noProof/>
          <w:lang w:val="de-DE"/>
        </w:rPr>
      </w:pPr>
    </w:p>
    <w:p w14:paraId="5DCB13EA" w14:textId="77777777" w:rsidR="00D04DA7" w:rsidRPr="000E717A" w:rsidRDefault="00D04DA7" w:rsidP="00D04DA7">
      <w:pPr>
        <w:pStyle w:val="Contact"/>
        <w:rPr>
          <w:b/>
          <w:noProof/>
          <w:lang w:val="de-DE"/>
        </w:rPr>
      </w:pPr>
      <w:r>
        <w:rPr>
          <w:b/>
          <w:noProof/>
          <w:lang w:val="de-DE"/>
        </w:rPr>
        <w:t>Sennheiser</w:t>
      </w:r>
      <w:r w:rsidRPr="000E717A">
        <w:rPr>
          <w:b/>
          <w:noProof/>
          <w:lang w:val="de-DE"/>
        </w:rPr>
        <w:t xml:space="preserve"> Pressekontakt</w:t>
      </w:r>
    </w:p>
    <w:p w14:paraId="52C7DCB6" w14:textId="77777777" w:rsidR="00D04DA7" w:rsidRPr="000E717A" w:rsidRDefault="00D04DA7" w:rsidP="00D04DA7">
      <w:pPr>
        <w:pStyle w:val="Contact"/>
        <w:rPr>
          <w:noProof/>
          <w:lang w:val="de-DE"/>
        </w:rPr>
      </w:pPr>
    </w:p>
    <w:p w14:paraId="586B10C0" w14:textId="77777777" w:rsidR="00D04DA7" w:rsidRPr="000E717A" w:rsidRDefault="00D04DA7" w:rsidP="00D04DA7">
      <w:pPr>
        <w:pStyle w:val="Contact"/>
        <w:rPr>
          <w:noProof/>
          <w:color w:val="0095D5"/>
          <w:lang w:val="de-DE"/>
        </w:rPr>
      </w:pPr>
      <w:r w:rsidRPr="000E717A">
        <w:rPr>
          <w:noProof/>
          <w:color w:val="0095D5"/>
          <w:lang w:val="de-DE"/>
        </w:rPr>
        <w:t>Stefan Peters</w:t>
      </w:r>
      <w:r w:rsidRPr="000E717A">
        <w:rPr>
          <w:noProof/>
          <w:color w:val="0095D5"/>
          <w:lang w:val="de-DE"/>
        </w:rPr>
        <w:tab/>
      </w:r>
    </w:p>
    <w:p w14:paraId="1E6E7F67" w14:textId="77777777" w:rsidR="00D04DA7" w:rsidRPr="000E717A" w:rsidRDefault="00D04DA7" w:rsidP="00D04DA7">
      <w:pPr>
        <w:pStyle w:val="Contact"/>
        <w:rPr>
          <w:noProof/>
          <w:lang w:val="de-DE"/>
        </w:rPr>
      </w:pPr>
      <w:r w:rsidRPr="000E717A">
        <w:rPr>
          <w:noProof/>
          <w:lang w:val="de-DE"/>
        </w:rPr>
        <w:t>stefan.peters@sennheiser.com</w:t>
      </w:r>
      <w:r w:rsidRPr="000E717A">
        <w:rPr>
          <w:noProof/>
          <w:lang w:val="de-DE"/>
        </w:rPr>
        <w:tab/>
      </w:r>
    </w:p>
    <w:p w14:paraId="101A4A3E" w14:textId="77777777" w:rsidR="00D04DA7" w:rsidRPr="000E717A" w:rsidRDefault="00D04DA7" w:rsidP="00D04DA7">
      <w:pPr>
        <w:pStyle w:val="Contact"/>
        <w:rPr>
          <w:noProof/>
          <w:lang w:val="de-DE"/>
        </w:rPr>
      </w:pPr>
      <w:r w:rsidRPr="000E717A">
        <w:rPr>
          <w:noProof/>
          <w:lang w:val="de-DE"/>
        </w:rPr>
        <w:t>+49 0(5130) 600 – 1026</w:t>
      </w:r>
      <w:r w:rsidRPr="000E717A">
        <w:rPr>
          <w:noProof/>
          <w:lang w:val="de-DE"/>
        </w:rPr>
        <w:tab/>
      </w:r>
      <w:r w:rsidRPr="0078586E">
        <w:rPr>
          <w:lang w:val="de-DE"/>
        </w:rPr>
        <w:t xml:space="preserve"> </w:t>
      </w:r>
    </w:p>
    <w:p w14:paraId="454278EC" w14:textId="77777777" w:rsidR="00D04DA7" w:rsidRPr="00D04DA7" w:rsidRDefault="00D04DA7" w:rsidP="00286C75">
      <w:pPr>
        <w:rPr>
          <w:lang w:val="de-DE"/>
        </w:rPr>
      </w:pPr>
    </w:p>
    <w:p w14:paraId="487E0CED" w14:textId="77777777" w:rsidR="00656776" w:rsidRPr="00622B0B" w:rsidRDefault="00656776" w:rsidP="00656776">
      <w:pPr>
        <w:pStyle w:val="About"/>
        <w:rPr>
          <w:lang w:val="de-DE"/>
        </w:rPr>
      </w:pPr>
    </w:p>
    <w:sectPr w:rsidR="00656776" w:rsidRPr="00622B0B" w:rsidSect="008E5D5C">
      <w:headerReference w:type="default" r:id="rId14"/>
      <w:headerReference w:type="first" r:id="rId15"/>
      <w:footerReference w:type="first" r:id="rId16"/>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748898" w14:textId="77777777" w:rsidR="00CB6CCE" w:rsidRDefault="00CB6CCE" w:rsidP="00CA1EB9">
      <w:pPr>
        <w:spacing w:line="240" w:lineRule="auto"/>
      </w:pPr>
      <w:r>
        <w:separator/>
      </w:r>
    </w:p>
  </w:endnote>
  <w:endnote w:type="continuationSeparator" w:id="0">
    <w:p w14:paraId="60A517EE" w14:textId="77777777" w:rsidR="00CB6CCE" w:rsidRDefault="00CB6CCE"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Calibri"/>
    <w:charset w:val="00"/>
    <w:family w:val="swiss"/>
    <w:pitch w:val="variable"/>
    <w:sig w:usb0="A00000AF" w:usb1="500020DB" w:usb2="00000000" w:usb3="00000000" w:csb0="00000093" w:csb1="00000000"/>
    <w:embedRegular r:id="rId1" w:fontKey="{44477927-4403-423E-80E2-6A9CBA52CBF6}"/>
    <w:embedBold r:id="rId2" w:fontKey="{6BC427B8-F94C-48DC-9D53-4DE24F704F63}"/>
    <w:embedBoldItalic r:id="rId3" w:fontKey="{83F37212-316E-4978-91DB-A3D2874A91C5}"/>
  </w:font>
  <w:font w:name="Tahoma">
    <w:panose1 w:val="020B0604030504040204"/>
    <w:charset w:val="00"/>
    <w:family w:val="swiss"/>
    <w:pitch w:val="variable"/>
    <w:sig w:usb0="E1002EFF" w:usb1="C000605B" w:usb2="00000029" w:usb3="00000000" w:csb0="000101FF" w:csb1="00000000"/>
    <w:embedRegular r:id="rId4" w:fontKey="{70A4F0B0-B4E6-471D-9F97-E07060689AA6}"/>
  </w:font>
  <w:font w:name="Andale Mono">
    <w:charset w:val="00"/>
    <w:family w:val="auto"/>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nnheiser-Bold">
    <w:altName w:val="Calibri"/>
    <w:charset w:val="00"/>
    <w:family w:val="swiss"/>
    <w:pitch w:val="variable"/>
    <w:sig w:usb0="8000002F" w:usb1="1000004A" w:usb2="00000000" w:usb3="00000000" w:csb0="00000013"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05250A" w14:textId="77777777" w:rsidR="00695F01" w:rsidRDefault="00695F01">
    <w:pPr>
      <w:pStyle w:val="Fuzeile"/>
    </w:pPr>
    <w:r>
      <w:rPr>
        <w:noProof/>
        <w:lang w:val="en-US"/>
      </w:rPr>
      <w:drawing>
        <wp:anchor distT="0" distB="0" distL="114300" distR="114300" simplePos="0" relativeHeight="251673600" behindDoc="0" locked="1" layoutInCell="1" allowOverlap="1" wp14:anchorId="2F93F40D" wp14:editId="5A06653F">
          <wp:simplePos x="0" y="0"/>
          <wp:positionH relativeFrom="page">
            <wp:posOffset>900430</wp:posOffset>
          </wp:positionH>
          <wp:positionV relativeFrom="page">
            <wp:posOffset>10153015</wp:posOffset>
          </wp:positionV>
          <wp:extent cx="1026000" cy="108000"/>
          <wp:effectExtent l="0" t="0" r="3175" b="635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3B0A86" w14:textId="77777777" w:rsidR="00CB6CCE" w:rsidRDefault="00CB6CCE" w:rsidP="00CA1EB9">
      <w:pPr>
        <w:spacing w:line="240" w:lineRule="auto"/>
      </w:pPr>
      <w:r>
        <w:separator/>
      </w:r>
    </w:p>
  </w:footnote>
  <w:footnote w:type="continuationSeparator" w:id="0">
    <w:p w14:paraId="2D308417" w14:textId="77777777" w:rsidR="00CB6CCE" w:rsidRDefault="00CB6CCE"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DEA77C" w14:textId="0ED684BD" w:rsidR="00695F01" w:rsidRPr="008E5D5C" w:rsidRDefault="00695F01" w:rsidP="008E5D5C">
    <w:pPr>
      <w:pStyle w:val="Kopfzeile"/>
      <w:rPr>
        <w:color w:val="0095D5" w:themeColor="accent1"/>
      </w:rPr>
    </w:pPr>
    <w:r w:rsidRPr="008E5D5C">
      <w:rPr>
        <w:noProof/>
        <w:color w:val="0095D5" w:themeColor="accent1"/>
        <w:lang w:val="en-US"/>
      </w:rPr>
      <w:drawing>
        <wp:anchor distT="0" distB="0" distL="114300" distR="114300" simplePos="0" relativeHeight="251675648" behindDoc="0" locked="1" layoutInCell="1" allowOverlap="1" wp14:anchorId="419F589E" wp14:editId="191780D0">
          <wp:simplePos x="0" y="0"/>
          <wp:positionH relativeFrom="page">
            <wp:posOffset>900430</wp:posOffset>
          </wp:positionH>
          <wp:positionV relativeFrom="page">
            <wp:posOffset>422275</wp:posOffset>
          </wp:positionV>
          <wp:extent cx="576000" cy="431117"/>
          <wp:effectExtent l="0" t="0" r="0" b="7620"/>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341B7C">
      <w:rPr>
        <w:color w:val="0095D5" w:themeColor="accent1"/>
      </w:rPr>
      <w:t>Pressemitteilung</w:t>
    </w:r>
  </w:p>
  <w:p w14:paraId="70CC3468" w14:textId="77777777" w:rsidR="00695F01" w:rsidRPr="008E5D5C" w:rsidRDefault="00FC2259" w:rsidP="008E5D5C">
    <w:pPr>
      <w:pStyle w:val="Kopfzeile"/>
    </w:pPr>
    <w:r>
      <w:fldChar w:fldCharType="begin"/>
    </w:r>
    <w:r>
      <w:instrText xml:space="preserve"> PAGE  \* Arabic  \* MERGEFORMAT </w:instrText>
    </w:r>
    <w:r>
      <w:fldChar w:fldCharType="separate"/>
    </w:r>
    <w:r w:rsidR="00825897">
      <w:rPr>
        <w:noProof/>
      </w:rPr>
      <w:t>4</w:t>
    </w:r>
    <w:r>
      <w:rPr>
        <w:noProof/>
      </w:rPr>
      <w:fldChar w:fldCharType="end"/>
    </w:r>
    <w:r w:rsidR="00695F01">
      <w:t>/</w:t>
    </w:r>
    <w:r w:rsidR="00FA5B88">
      <w:rPr>
        <w:noProof/>
      </w:rPr>
      <w:fldChar w:fldCharType="begin"/>
    </w:r>
    <w:r w:rsidR="00FA5B88">
      <w:rPr>
        <w:noProof/>
      </w:rPr>
      <w:instrText xml:space="preserve"> NUMPAGES  \* Arabic  \* MERGEFORMAT </w:instrText>
    </w:r>
    <w:r w:rsidR="00FA5B88">
      <w:rPr>
        <w:noProof/>
      </w:rPr>
      <w:fldChar w:fldCharType="separate"/>
    </w:r>
    <w:r w:rsidR="00825897">
      <w:rPr>
        <w:noProof/>
      </w:rPr>
      <w:t>4</w:t>
    </w:r>
    <w:r w:rsidR="00FA5B8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ECE466" w14:textId="7555217A" w:rsidR="00695F01" w:rsidRPr="008E5D5C" w:rsidRDefault="00695F01" w:rsidP="008E5D5C">
    <w:pPr>
      <w:pStyle w:val="Kopfzeile"/>
      <w:rPr>
        <w:color w:val="0095D5" w:themeColor="accent1"/>
      </w:rPr>
    </w:pPr>
    <w:r w:rsidRPr="008E5D5C">
      <w:rPr>
        <w:noProof/>
        <w:color w:val="0095D5" w:themeColor="accent1"/>
        <w:lang w:val="en-US"/>
      </w:rPr>
      <w:drawing>
        <wp:anchor distT="0" distB="0" distL="114300" distR="114300" simplePos="0" relativeHeight="251668480" behindDoc="0" locked="1" layoutInCell="1" allowOverlap="1" wp14:anchorId="35B5761E" wp14:editId="0D812C7A">
          <wp:simplePos x="0" y="0"/>
          <wp:positionH relativeFrom="page">
            <wp:posOffset>900430</wp:posOffset>
          </wp:positionH>
          <wp:positionV relativeFrom="page">
            <wp:posOffset>422275</wp:posOffset>
          </wp:positionV>
          <wp:extent cx="576000" cy="431117"/>
          <wp:effectExtent l="0" t="0" r="0" b="7620"/>
          <wp:wrapNone/>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341B7C">
      <w:rPr>
        <w:color w:val="0095D5" w:themeColor="accent1"/>
      </w:rPr>
      <w:t>Pressemitteilung</w:t>
    </w:r>
  </w:p>
  <w:p w14:paraId="0802FCD1" w14:textId="77777777" w:rsidR="00695F01" w:rsidRPr="008E5D5C" w:rsidRDefault="00FC2259" w:rsidP="008E5D5C">
    <w:pPr>
      <w:pStyle w:val="Kopfzeile"/>
    </w:pPr>
    <w:r>
      <w:fldChar w:fldCharType="begin"/>
    </w:r>
    <w:r>
      <w:instrText xml:space="preserve"> PAGE  \* Arabic  \* MERGEFORMAT </w:instrText>
    </w:r>
    <w:r>
      <w:fldChar w:fldCharType="separate"/>
    </w:r>
    <w:r w:rsidR="009B1DB9">
      <w:rPr>
        <w:noProof/>
      </w:rPr>
      <w:t>1</w:t>
    </w:r>
    <w:r>
      <w:rPr>
        <w:noProof/>
      </w:rPr>
      <w:fldChar w:fldCharType="end"/>
    </w:r>
    <w:r w:rsidR="00695F01">
      <w:t>/</w:t>
    </w:r>
    <w:r w:rsidR="00FA5B88">
      <w:rPr>
        <w:noProof/>
      </w:rPr>
      <w:fldChar w:fldCharType="begin"/>
    </w:r>
    <w:r w:rsidR="00FA5B88">
      <w:rPr>
        <w:noProof/>
      </w:rPr>
      <w:instrText xml:space="preserve"> NUMPAGES  \* Arabic  \* MERGEFORMAT </w:instrText>
    </w:r>
    <w:r w:rsidR="00FA5B88">
      <w:rPr>
        <w:noProof/>
      </w:rPr>
      <w:fldChar w:fldCharType="separate"/>
    </w:r>
    <w:r w:rsidR="009B1DB9">
      <w:rPr>
        <w:noProof/>
      </w:rPr>
      <w:t>4</w:t>
    </w:r>
    <w:r w:rsidR="00FA5B88">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DD0E55"/>
    <w:multiLevelType w:val="hybridMultilevel"/>
    <w:tmpl w:val="FF2606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3AA6322D"/>
    <w:multiLevelType w:val="hybridMultilevel"/>
    <w:tmpl w:val="6F7456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63E87E3C"/>
    <w:multiLevelType w:val="hybridMultilevel"/>
    <w:tmpl w:val="386CDEB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68A37572"/>
    <w:multiLevelType w:val="hybridMultilevel"/>
    <w:tmpl w:val="B338E7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72E92A02"/>
    <w:multiLevelType w:val="hybridMultilevel"/>
    <w:tmpl w:val="99D4EF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3"/>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16DCB"/>
    <w:rsid w:val="000244BD"/>
    <w:rsid w:val="00030808"/>
    <w:rsid w:val="00054C9E"/>
    <w:rsid w:val="00075826"/>
    <w:rsid w:val="0008260F"/>
    <w:rsid w:val="00097515"/>
    <w:rsid w:val="000B036E"/>
    <w:rsid w:val="000C16C6"/>
    <w:rsid w:val="00100A93"/>
    <w:rsid w:val="00105DDC"/>
    <w:rsid w:val="00112C8D"/>
    <w:rsid w:val="00121501"/>
    <w:rsid w:val="00132275"/>
    <w:rsid w:val="0014006E"/>
    <w:rsid w:val="0017152F"/>
    <w:rsid w:val="00182FEA"/>
    <w:rsid w:val="00186D04"/>
    <w:rsid w:val="00186EE2"/>
    <w:rsid w:val="001937CF"/>
    <w:rsid w:val="001965CE"/>
    <w:rsid w:val="001B46A8"/>
    <w:rsid w:val="001C63D8"/>
    <w:rsid w:val="001D4E25"/>
    <w:rsid w:val="001F3001"/>
    <w:rsid w:val="00201BCD"/>
    <w:rsid w:val="002057CE"/>
    <w:rsid w:val="00206C05"/>
    <w:rsid w:val="002203E8"/>
    <w:rsid w:val="0022379B"/>
    <w:rsid w:val="00225F0B"/>
    <w:rsid w:val="00227A04"/>
    <w:rsid w:val="00261ED8"/>
    <w:rsid w:val="00273A1F"/>
    <w:rsid w:val="00276590"/>
    <w:rsid w:val="00282A8D"/>
    <w:rsid w:val="00286C75"/>
    <w:rsid w:val="002C2812"/>
    <w:rsid w:val="002C4FD6"/>
    <w:rsid w:val="002C6F4D"/>
    <w:rsid w:val="002D19CF"/>
    <w:rsid w:val="002D66AA"/>
    <w:rsid w:val="002E415C"/>
    <w:rsid w:val="002F37DF"/>
    <w:rsid w:val="002F485F"/>
    <w:rsid w:val="00307132"/>
    <w:rsid w:val="00311C6F"/>
    <w:rsid w:val="003236F2"/>
    <w:rsid w:val="00326FB8"/>
    <w:rsid w:val="00330B08"/>
    <w:rsid w:val="00341B7C"/>
    <w:rsid w:val="003547A3"/>
    <w:rsid w:val="00355492"/>
    <w:rsid w:val="0037220A"/>
    <w:rsid w:val="00375ACD"/>
    <w:rsid w:val="003A118C"/>
    <w:rsid w:val="003B6330"/>
    <w:rsid w:val="003D06A1"/>
    <w:rsid w:val="003D4296"/>
    <w:rsid w:val="0040059F"/>
    <w:rsid w:val="0040410E"/>
    <w:rsid w:val="00453B3E"/>
    <w:rsid w:val="00454836"/>
    <w:rsid w:val="00482B04"/>
    <w:rsid w:val="004D2862"/>
    <w:rsid w:val="004D5C31"/>
    <w:rsid w:val="004D7460"/>
    <w:rsid w:val="004D7F11"/>
    <w:rsid w:val="004E1375"/>
    <w:rsid w:val="004E69CA"/>
    <w:rsid w:val="00520FB1"/>
    <w:rsid w:val="00521FBE"/>
    <w:rsid w:val="00523449"/>
    <w:rsid w:val="005327DB"/>
    <w:rsid w:val="005441A1"/>
    <w:rsid w:val="005444CD"/>
    <w:rsid w:val="00553A65"/>
    <w:rsid w:val="00561F47"/>
    <w:rsid w:val="0056312B"/>
    <w:rsid w:val="00595C3A"/>
    <w:rsid w:val="005A2435"/>
    <w:rsid w:val="005A4678"/>
    <w:rsid w:val="005A6F00"/>
    <w:rsid w:val="005B0436"/>
    <w:rsid w:val="005C1F67"/>
    <w:rsid w:val="005C7BB3"/>
    <w:rsid w:val="005D571F"/>
    <w:rsid w:val="005E397C"/>
    <w:rsid w:val="005E4A41"/>
    <w:rsid w:val="005F5823"/>
    <w:rsid w:val="0060142B"/>
    <w:rsid w:val="006108B6"/>
    <w:rsid w:val="00612170"/>
    <w:rsid w:val="00614816"/>
    <w:rsid w:val="00622B0B"/>
    <w:rsid w:val="0062691E"/>
    <w:rsid w:val="0063235B"/>
    <w:rsid w:val="0064392C"/>
    <w:rsid w:val="00653796"/>
    <w:rsid w:val="00656776"/>
    <w:rsid w:val="00662E05"/>
    <w:rsid w:val="00670C73"/>
    <w:rsid w:val="00675CA7"/>
    <w:rsid w:val="00682A62"/>
    <w:rsid w:val="00695F01"/>
    <w:rsid w:val="006D7DD5"/>
    <w:rsid w:val="006F058F"/>
    <w:rsid w:val="00703C95"/>
    <w:rsid w:val="007054ED"/>
    <w:rsid w:val="007103C8"/>
    <w:rsid w:val="0071600A"/>
    <w:rsid w:val="007237E9"/>
    <w:rsid w:val="007311EB"/>
    <w:rsid w:val="00732897"/>
    <w:rsid w:val="00766E21"/>
    <w:rsid w:val="00792CD4"/>
    <w:rsid w:val="007A7D01"/>
    <w:rsid w:val="007C1577"/>
    <w:rsid w:val="007C4F79"/>
    <w:rsid w:val="007F2BDC"/>
    <w:rsid w:val="00806E64"/>
    <w:rsid w:val="00813B08"/>
    <w:rsid w:val="00825897"/>
    <w:rsid w:val="00826A5F"/>
    <w:rsid w:val="00834B2E"/>
    <w:rsid w:val="008364A5"/>
    <w:rsid w:val="00837117"/>
    <w:rsid w:val="00862561"/>
    <w:rsid w:val="0086535A"/>
    <w:rsid w:val="00877240"/>
    <w:rsid w:val="00880864"/>
    <w:rsid w:val="008A1CC3"/>
    <w:rsid w:val="008C2033"/>
    <w:rsid w:val="008D6CAB"/>
    <w:rsid w:val="008E5D5C"/>
    <w:rsid w:val="00900DA0"/>
    <w:rsid w:val="0093014B"/>
    <w:rsid w:val="009302B0"/>
    <w:rsid w:val="009320A9"/>
    <w:rsid w:val="0094085A"/>
    <w:rsid w:val="00945D7A"/>
    <w:rsid w:val="0096404E"/>
    <w:rsid w:val="0097032E"/>
    <w:rsid w:val="00977493"/>
    <w:rsid w:val="009809FA"/>
    <w:rsid w:val="0099085F"/>
    <w:rsid w:val="00994C7B"/>
    <w:rsid w:val="009A0C63"/>
    <w:rsid w:val="009B1DB9"/>
    <w:rsid w:val="009C44B5"/>
    <w:rsid w:val="009C45A2"/>
    <w:rsid w:val="009D620C"/>
    <w:rsid w:val="009D6AD5"/>
    <w:rsid w:val="009E6432"/>
    <w:rsid w:val="009E6952"/>
    <w:rsid w:val="009F5DA1"/>
    <w:rsid w:val="00A40CCC"/>
    <w:rsid w:val="00A4127A"/>
    <w:rsid w:val="00A52224"/>
    <w:rsid w:val="00A5686E"/>
    <w:rsid w:val="00A637E9"/>
    <w:rsid w:val="00A747D3"/>
    <w:rsid w:val="00A81178"/>
    <w:rsid w:val="00A81DBB"/>
    <w:rsid w:val="00AA5D09"/>
    <w:rsid w:val="00AB0C5A"/>
    <w:rsid w:val="00AB48ED"/>
    <w:rsid w:val="00AB5767"/>
    <w:rsid w:val="00AC4E77"/>
    <w:rsid w:val="00AD75E0"/>
    <w:rsid w:val="00AE0EF3"/>
    <w:rsid w:val="00AE2057"/>
    <w:rsid w:val="00AF0C90"/>
    <w:rsid w:val="00B11C2B"/>
    <w:rsid w:val="00B20E88"/>
    <w:rsid w:val="00B476AD"/>
    <w:rsid w:val="00B56351"/>
    <w:rsid w:val="00B93061"/>
    <w:rsid w:val="00BB1ECA"/>
    <w:rsid w:val="00BB330D"/>
    <w:rsid w:val="00C003CF"/>
    <w:rsid w:val="00C029FB"/>
    <w:rsid w:val="00C147E5"/>
    <w:rsid w:val="00C15DD0"/>
    <w:rsid w:val="00C24DAB"/>
    <w:rsid w:val="00C40202"/>
    <w:rsid w:val="00C47AFA"/>
    <w:rsid w:val="00C66075"/>
    <w:rsid w:val="00C76DD8"/>
    <w:rsid w:val="00C80555"/>
    <w:rsid w:val="00C8099E"/>
    <w:rsid w:val="00C83951"/>
    <w:rsid w:val="00C91ACD"/>
    <w:rsid w:val="00CA1EB9"/>
    <w:rsid w:val="00CA543E"/>
    <w:rsid w:val="00CB5F9D"/>
    <w:rsid w:val="00CB6CCE"/>
    <w:rsid w:val="00CC06C6"/>
    <w:rsid w:val="00CD4FCE"/>
    <w:rsid w:val="00CD5497"/>
    <w:rsid w:val="00CF2B77"/>
    <w:rsid w:val="00D0201D"/>
    <w:rsid w:val="00D04DA7"/>
    <w:rsid w:val="00D22EA6"/>
    <w:rsid w:val="00D4630F"/>
    <w:rsid w:val="00D54C8A"/>
    <w:rsid w:val="00D644ED"/>
    <w:rsid w:val="00D666EE"/>
    <w:rsid w:val="00D87B31"/>
    <w:rsid w:val="00DA738B"/>
    <w:rsid w:val="00DB6018"/>
    <w:rsid w:val="00DC69CF"/>
    <w:rsid w:val="00DF1B15"/>
    <w:rsid w:val="00DF7B7B"/>
    <w:rsid w:val="00E101AB"/>
    <w:rsid w:val="00E16488"/>
    <w:rsid w:val="00E233E0"/>
    <w:rsid w:val="00E24C4E"/>
    <w:rsid w:val="00E42C92"/>
    <w:rsid w:val="00E46EE0"/>
    <w:rsid w:val="00E47856"/>
    <w:rsid w:val="00E507A3"/>
    <w:rsid w:val="00E56063"/>
    <w:rsid w:val="00E908F2"/>
    <w:rsid w:val="00EB6084"/>
    <w:rsid w:val="00EC576E"/>
    <w:rsid w:val="00EE3252"/>
    <w:rsid w:val="00EE51D1"/>
    <w:rsid w:val="00F04234"/>
    <w:rsid w:val="00F066D3"/>
    <w:rsid w:val="00F26877"/>
    <w:rsid w:val="00F33E2F"/>
    <w:rsid w:val="00F36283"/>
    <w:rsid w:val="00F42235"/>
    <w:rsid w:val="00F45AA6"/>
    <w:rsid w:val="00F45F5C"/>
    <w:rsid w:val="00F51D7D"/>
    <w:rsid w:val="00F6043C"/>
    <w:rsid w:val="00F63DC4"/>
    <w:rsid w:val="00F63E1E"/>
    <w:rsid w:val="00F75316"/>
    <w:rsid w:val="00F756AB"/>
    <w:rsid w:val="00F758E1"/>
    <w:rsid w:val="00FA5B88"/>
    <w:rsid w:val="00FA5BEA"/>
    <w:rsid w:val="00FA63C3"/>
    <w:rsid w:val="00FC2259"/>
    <w:rsid w:val="00FD66B1"/>
    <w:rsid w:val="00FD69BF"/>
    <w:rsid w:val="00FE3A4E"/>
    <w:rsid w:val="00FE5DE3"/>
    <w:rsid w:val="00FF0855"/>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05E4C873"/>
  <w15:docId w15:val="{285B6622-B490-4CF1-9067-F5CD534561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C45A2"/>
    <w:pPr>
      <w:outlineLvl w:val="0"/>
    </w:pPr>
    <w:rPr>
      <w:b/>
      <w:caps/>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C45A2"/>
    <w:rPr>
      <w:b/>
      <w:caps/>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5A6F00"/>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A6F00"/>
    <w:rPr>
      <w:rFonts w:ascii="Tahoma" w:hAnsi="Tahoma" w:cs="Tahoma"/>
      <w:sz w:val="16"/>
      <w:szCs w:val="16"/>
      <w:lang w:val="en-GB"/>
    </w:rPr>
  </w:style>
  <w:style w:type="paragraph" w:customStyle="1" w:styleId="BodyA">
    <w:name w:val="Body A"/>
    <w:rsid w:val="005A6F00"/>
    <w:pPr>
      <w:pBdr>
        <w:top w:val="nil"/>
        <w:left w:val="nil"/>
        <w:bottom w:val="nil"/>
        <w:right w:val="nil"/>
        <w:between w:val="nil"/>
        <w:bar w:val="nil"/>
      </w:pBdr>
      <w:spacing w:after="0" w:line="336" w:lineRule="auto"/>
      <w:jc w:val="both"/>
    </w:pPr>
    <w:rPr>
      <w:rFonts w:ascii="Andale Mono" w:eastAsia="Arial Unicode MS" w:hAnsi="Arial Unicode MS" w:cs="Arial Unicode MS"/>
      <w:color w:val="000000"/>
      <w:sz w:val="24"/>
      <w:szCs w:val="24"/>
      <w:u w:color="000000"/>
      <w:bdr w:val="nil"/>
      <w:lang w:val="en-US" w:eastAsia="de-DE"/>
    </w:rPr>
  </w:style>
  <w:style w:type="character" w:styleId="Fett">
    <w:name w:val="Strong"/>
    <w:aliases w:val="Überschrift"/>
    <w:uiPriority w:val="99"/>
    <w:qFormat/>
    <w:rsid w:val="005A6F00"/>
    <w:rPr>
      <w:rFonts w:ascii="Sennheiser-Bold" w:hAnsi="Sennheiser-Bold" w:cs="Times New Roman"/>
      <w:sz w:val="22"/>
    </w:rPr>
  </w:style>
  <w:style w:type="character" w:styleId="Kommentarzeichen">
    <w:name w:val="annotation reference"/>
    <w:basedOn w:val="Absatz-Standardschriftart"/>
    <w:uiPriority w:val="99"/>
    <w:semiHidden/>
    <w:unhideWhenUsed/>
    <w:rsid w:val="005441A1"/>
    <w:rPr>
      <w:sz w:val="16"/>
      <w:szCs w:val="16"/>
    </w:rPr>
  </w:style>
  <w:style w:type="paragraph" w:styleId="Kommentartext">
    <w:name w:val="annotation text"/>
    <w:basedOn w:val="Standard"/>
    <w:link w:val="KommentartextZchn"/>
    <w:uiPriority w:val="99"/>
    <w:semiHidden/>
    <w:unhideWhenUsed/>
    <w:rsid w:val="005441A1"/>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5441A1"/>
    <w:rPr>
      <w:sz w:val="20"/>
      <w:szCs w:val="20"/>
      <w:lang w:val="en-GB"/>
    </w:rPr>
  </w:style>
  <w:style w:type="paragraph" w:styleId="Kommentarthema">
    <w:name w:val="annotation subject"/>
    <w:basedOn w:val="Kommentartext"/>
    <w:next w:val="Kommentartext"/>
    <w:link w:val="KommentarthemaZchn"/>
    <w:uiPriority w:val="99"/>
    <w:semiHidden/>
    <w:unhideWhenUsed/>
    <w:rsid w:val="005441A1"/>
    <w:rPr>
      <w:b/>
      <w:bCs/>
    </w:rPr>
  </w:style>
  <w:style w:type="character" w:customStyle="1" w:styleId="KommentarthemaZchn">
    <w:name w:val="Kommentarthema Zchn"/>
    <w:basedOn w:val="KommentartextZchn"/>
    <w:link w:val="Kommentarthema"/>
    <w:uiPriority w:val="99"/>
    <w:semiHidden/>
    <w:rsid w:val="005441A1"/>
    <w:rPr>
      <w:b/>
      <w:bCs/>
      <w:sz w:val="20"/>
      <w:szCs w:val="20"/>
      <w:lang w:val="en-GB"/>
    </w:rPr>
  </w:style>
  <w:style w:type="character" w:styleId="BesuchterLink">
    <w:name w:val="FollowedHyperlink"/>
    <w:basedOn w:val="Absatz-Standardschriftart"/>
    <w:uiPriority w:val="99"/>
    <w:semiHidden/>
    <w:unhideWhenUsed/>
    <w:rsid w:val="004D7F11"/>
    <w:rPr>
      <w:color w:val="000000" w:themeColor="followedHyperlink"/>
      <w:u w:val="single"/>
    </w:rPr>
  </w:style>
  <w:style w:type="character" w:customStyle="1" w:styleId="NichtaufgelsteErwhnung1">
    <w:name w:val="Nicht aufgelöste Erwähnung1"/>
    <w:basedOn w:val="Absatz-Standardschriftart"/>
    <w:uiPriority w:val="99"/>
    <w:semiHidden/>
    <w:unhideWhenUsed/>
    <w:rsid w:val="00703C95"/>
    <w:rPr>
      <w:color w:val="605E5C"/>
      <w:shd w:val="clear" w:color="auto" w:fill="E1DFDD"/>
    </w:rPr>
  </w:style>
  <w:style w:type="paragraph" w:styleId="Listenabsatz">
    <w:name w:val="List Paragraph"/>
    <w:basedOn w:val="Standard"/>
    <w:uiPriority w:val="34"/>
    <w:rsid w:val="00225F0B"/>
    <w:pPr>
      <w:ind w:left="720"/>
      <w:contextualSpacing/>
    </w:pPr>
  </w:style>
  <w:style w:type="paragraph" w:styleId="berarbeitung">
    <w:name w:val="Revision"/>
    <w:hidden/>
    <w:uiPriority w:val="99"/>
    <w:semiHidden/>
    <w:rsid w:val="00A81DBB"/>
    <w:pPr>
      <w:spacing w:after="0" w:line="240" w:lineRule="auto"/>
    </w:pPr>
    <w:rPr>
      <w:sz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309708">
      <w:bodyDiv w:val="1"/>
      <w:marLeft w:val="0"/>
      <w:marRight w:val="0"/>
      <w:marTop w:val="0"/>
      <w:marBottom w:val="0"/>
      <w:divBdr>
        <w:top w:val="none" w:sz="0" w:space="0" w:color="auto"/>
        <w:left w:val="none" w:sz="0" w:space="0" w:color="auto"/>
        <w:bottom w:val="none" w:sz="0" w:space="0" w:color="auto"/>
        <w:right w:val="none" w:sz="0" w:space="0" w:color="auto"/>
      </w:divBdr>
    </w:div>
    <w:div w:id="45029985">
      <w:bodyDiv w:val="1"/>
      <w:marLeft w:val="0"/>
      <w:marRight w:val="0"/>
      <w:marTop w:val="0"/>
      <w:marBottom w:val="0"/>
      <w:divBdr>
        <w:top w:val="none" w:sz="0" w:space="0" w:color="auto"/>
        <w:left w:val="none" w:sz="0" w:space="0" w:color="auto"/>
        <w:bottom w:val="none" w:sz="0" w:space="0" w:color="auto"/>
        <w:right w:val="none" w:sz="0" w:space="0" w:color="auto"/>
      </w:divBdr>
    </w:div>
    <w:div w:id="469979518">
      <w:bodyDiv w:val="1"/>
      <w:marLeft w:val="0"/>
      <w:marRight w:val="0"/>
      <w:marTop w:val="0"/>
      <w:marBottom w:val="0"/>
      <w:divBdr>
        <w:top w:val="none" w:sz="0" w:space="0" w:color="auto"/>
        <w:left w:val="none" w:sz="0" w:space="0" w:color="auto"/>
        <w:bottom w:val="none" w:sz="0" w:space="0" w:color="auto"/>
        <w:right w:val="none" w:sz="0" w:space="0" w:color="auto"/>
      </w:divBdr>
    </w:div>
    <w:div w:id="528177784">
      <w:bodyDiv w:val="1"/>
      <w:marLeft w:val="0"/>
      <w:marRight w:val="0"/>
      <w:marTop w:val="0"/>
      <w:marBottom w:val="0"/>
      <w:divBdr>
        <w:top w:val="none" w:sz="0" w:space="0" w:color="auto"/>
        <w:left w:val="none" w:sz="0" w:space="0" w:color="auto"/>
        <w:bottom w:val="none" w:sz="0" w:space="0" w:color="auto"/>
        <w:right w:val="none" w:sz="0" w:space="0" w:color="auto"/>
      </w:divBdr>
      <w:divsChild>
        <w:div w:id="1017118901">
          <w:marLeft w:val="0"/>
          <w:marRight w:val="0"/>
          <w:marTop w:val="0"/>
          <w:marBottom w:val="0"/>
          <w:divBdr>
            <w:top w:val="none" w:sz="0" w:space="0" w:color="auto"/>
            <w:left w:val="none" w:sz="0" w:space="0" w:color="auto"/>
            <w:bottom w:val="none" w:sz="0" w:space="0" w:color="auto"/>
            <w:right w:val="none" w:sz="0" w:space="0" w:color="auto"/>
          </w:divBdr>
          <w:divsChild>
            <w:div w:id="2073652115">
              <w:marLeft w:val="0"/>
              <w:marRight w:val="0"/>
              <w:marTop w:val="0"/>
              <w:marBottom w:val="0"/>
              <w:divBdr>
                <w:top w:val="none" w:sz="0" w:space="0" w:color="auto"/>
                <w:left w:val="none" w:sz="0" w:space="0" w:color="auto"/>
                <w:bottom w:val="none" w:sz="0" w:space="0" w:color="auto"/>
                <w:right w:val="none" w:sz="0" w:space="0" w:color="auto"/>
              </w:divBdr>
              <w:divsChild>
                <w:div w:id="578829910">
                  <w:marLeft w:val="0"/>
                  <w:marRight w:val="0"/>
                  <w:marTop w:val="0"/>
                  <w:marBottom w:val="0"/>
                  <w:divBdr>
                    <w:top w:val="none" w:sz="0" w:space="0" w:color="auto"/>
                    <w:left w:val="none" w:sz="0" w:space="0" w:color="auto"/>
                    <w:bottom w:val="none" w:sz="0" w:space="0" w:color="auto"/>
                    <w:right w:val="none" w:sz="0" w:space="0" w:color="auto"/>
                  </w:divBdr>
                </w:div>
              </w:divsChild>
            </w:div>
            <w:div w:id="499195067">
              <w:marLeft w:val="0"/>
              <w:marRight w:val="0"/>
              <w:marTop w:val="0"/>
              <w:marBottom w:val="0"/>
              <w:divBdr>
                <w:top w:val="none" w:sz="0" w:space="0" w:color="auto"/>
                <w:left w:val="none" w:sz="0" w:space="0" w:color="auto"/>
                <w:bottom w:val="none" w:sz="0" w:space="0" w:color="auto"/>
                <w:right w:val="none" w:sz="0" w:space="0" w:color="auto"/>
              </w:divBdr>
              <w:divsChild>
                <w:div w:id="32462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498649">
      <w:bodyDiv w:val="1"/>
      <w:marLeft w:val="0"/>
      <w:marRight w:val="0"/>
      <w:marTop w:val="0"/>
      <w:marBottom w:val="0"/>
      <w:divBdr>
        <w:top w:val="none" w:sz="0" w:space="0" w:color="auto"/>
        <w:left w:val="none" w:sz="0" w:space="0" w:color="auto"/>
        <w:bottom w:val="none" w:sz="0" w:space="0" w:color="auto"/>
        <w:right w:val="none" w:sz="0" w:space="0" w:color="auto"/>
      </w:divBdr>
    </w:div>
    <w:div w:id="944727107">
      <w:bodyDiv w:val="1"/>
      <w:marLeft w:val="0"/>
      <w:marRight w:val="0"/>
      <w:marTop w:val="0"/>
      <w:marBottom w:val="0"/>
      <w:divBdr>
        <w:top w:val="none" w:sz="0" w:space="0" w:color="auto"/>
        <w:left w:val="none" w:sz="0" w:space="0" w:color="auto"/>
        <w:bottom w:val="none" w:sz="0" w:space="0" w:color="auto"/>
        <w:right w:val="none" w:sz="0" w:space="0" w:color="auto"/>
      </w:divBdr>
    </w:div>
    <w:div w:id="1643927949">
      <w:bodyDiv w:val="1"/>
      <w:marLeft w:val="0"/>
      <w:marRight w:val="0"/>
      <w:marTop w:val="0"/>
      <w:marBottom w:val="0"/>
      <w:divBdr>
        <w:top w:val="none" w:sz="0" w:space="0" w:color="auto"/>
        <w:left w:val="none" w:sz="0" w:space="0" w:color="auto"/>
        <w:bottom w:val="none" w:sz="0" w:space="0" w:color="auto"/>
        <w:right w:val="none" w:sz="0" w:space="0" w:color="auto"/>
      </w:divBdr>
    </w:div>
    <w:div w:id="2036613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7.emf"/></Relationships>
</file>

<file path=word/_rels/header2.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72B215-AF85-40C5-BE7F-3BF80E6E0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976</Words>
  <Characters>6154</Characters>
  <Application>Microsoft Office Word</Application>
  <DocSecurity>0</DocSecurity>
  <Lines>51</Lines>
  <Paragraphs>14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7116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Lisa Mannagottera</cp:lastModifiedBy>
  <cp:revision>3</cp:revision>
  <cp:lastPrinted>2019-06-12T12:02:00Z</cp:lastPrinted>
  <dcterms:created xsi:type="dcterms:W3CDTF">2019-06-27T15:19:00Z</dcterms:created>
  <dcterms:modified xsi:type="dcterms:W3CDTF">2019-06-27T15:26:00Z</dcterms:modified>
</cp:coreProperties>
</file>